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ОСВІТИ І НАУКИ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ЛИСТ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03.07.2018 № 1/9-415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Департаменти (управління) освіти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науки обласних,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Київської міської державних адміністрацій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Обласні заклади післядипломної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педагогічної освіти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Щодо вивчення у закладах загальної середньої освіти навчальних предметів у 2018-2019 навчальному році</w:t>
      </w:r>
    </w:p>
    <w:p>
      <w:pPr>
        <w:pStyle w:val="rvps12"/>
        <w:spacing w:before="15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" w:name="n5"/>
      <w:bookmarkEnd w:id="3"/>
      <w:r>
        <w:rPr>
          <w:rStyle w:val="spanrvts0"/>
          <w:b w:val="0"/>
          <w:bCs w:val="0"/>
          <w:i w:val="0"/>
          <w:iCs w:val="0"/>
          <w:lang w:val="uk" w:eastAsia="uk"/>
        </w:rPr>
        <w:t>Шановні колеги!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" w:name="n6"/>
      <w:bookmarkEnd w:id="4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Міністерство освіти і науки надсилає для практичного використання </w:t>
      </w:r>
      <w:hyperlink w:anchor="n11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інструктивно-методичні рекомендації щодо вивчення в закладах загальної середньої освіти навчальних предметів та організації освітнього процесу у 2018-2019 навчальному році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розроблені спільно з Національною академією педагогічних наук України та Інститутом модернізації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5" w:name="n7"/>
      <w:bookmarkEnd w:id="5"/>
      <w:r>
        <w:rPr>
          <w:rStyle w:val="spanrvts0"/>
          <w:b w:val="0"/>
          <w:bCs w:val="0"/>
          <w:i w:val="0"/>
          <w:iCs w:val="0"/>
          <w:lang w:val="uk" w:eastAsia="uk"/>
        </w:rPr>
        <w:t>Просимо довести їх до відома вчителів закладів загальної середньої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6" w:name="n8"/>
      <w:bookmarkEnd w:id="6"/>
      <w:r>
        <w:rPr>
          <w:rStyle w:val="spanrvts0"/>
          <w:b w:val="0"/>
          <w:bCs w:val="0"/>
          <w:i w:val="0"/>
          <w:iCs w:val="0"/>
          <w:lang w:val="uk" w:eastAsia="uk"/>
        </w:rPr>
        <w:t>З повагою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67"/>
        <w:gridCol w:w="5793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7" w:name="n9"/>
            <w:bookmarkEnd w:id="7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Заступник міністра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П. Хобзей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8" w:name="n12"/>
      <w:bookmarkEnd w:id="8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" w:name="n10"/>
            <w:bookmarkEnd w:id="9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листа Міністерства освіти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 науки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03.07.2018 № 1/9-415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10" w:name="n11"/>
      <w:bookmarkEnd w:id="10"/>
      <w:hyperlink r:id="rId5" w:history="1">
        <w:r>
          <w:rPr>
            <w:rStyle w:val="arvts103"/>
            <w:b/>
            <w:bCs/>
            <w:i w:val="0"/>
            <w:iCs w:val="0"/>
            <w:lang w:val="uk" w:eastAsia="uk"/>
          </w:rPr>
          <w:t>ІНСТРУКТИВНО-МЕТОДИЧНІ РЕКОМЕНДАЦІЇ</w:t>
        </w:r>
      </w:hyperlink>
      <w:r>
        <w:rPr>
          <w:rStyle w:val="spanrvts15"/>
          <w:b/>
          <w:bCs/>
          <w:i w:val="0"/>
          <w:iCs w:val="0"/>
          <w:lang w:val="uk" w:eastAsia="uk"/>
        </w:rPr>
        <w:t xml:space="preserve">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щодо вивчення в закладах загальної середньої освіти навчальних предметів та організації освітнього процесу у 2018/2019 навчальному році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Щодо вивчення у закладах загальної середньої освіти навчальних предметів у 2018-2019 навчальному році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Лист; МОН України від 03.07.2018 № 1/9-415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03.07.2018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https://zakon.rada.gov.ua/go/v-415729-18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24.06.2023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5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f476717n14.doc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/ </w:t>
      </w:r>
      <w:hyperlink r:id="rId8" w:tgtFrame="_blank" w:tooltip="Сигнальний документ, &lt;nobr&gt;256 кб&lt;/nobr&gt;" w:history="1">
        <w:r>
          <w:rPr>
            <w:rFonts w:ascii="Times New Roman" w:eastAsia="Times New Roman" w:hAnsi="Times New Roman" w:cs="Times New Roman"/>
            <w:color w:val="0000EE"/>
            <w:u w:val="single" w:color="0000EE"/>
            <w:lang w:val="uk" w:eastAsia="uk"/>
          </w:rPr>
          <w:t>zip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15.08.18 09:55, 1.32 Мб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  <w:r>
        <w:pict>
          <v:rect id="_x0000_i1027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2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Інформаційний збірник та коментарі МОН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07.2018 — 2018 р., № 7, стор. 2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rada/file/text/65/f476717n14.doc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zakon.rada.gov.ua/rada/file/text/65/f476717n14.zip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Щодо вивчення у закладах загальної середньої освіти навчальних предметів у 2018-2019 навчальному році | від 03.07.2018 № 1/9-415</dc:title>
  <cp:revision>0</cp:revision>
</cp:coreProperties>
</file>